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INDIANA</w:t>
      </w:r>
    </w:p>
    <w:p w:rsidR="00000000" w:rsidDel="00000000" w:rsidP="00000000" w:rsidRDefault="00000000" w:rsidRPr="00000000" w14:paraId="00000199">
      <w:pPr>
        <w:widowControl w:val="0"/>
        <w:spacing w:before="225" w:line="228" w:lineRule="auto"/>
        <w:ind w:left="25" w:right="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a distiller may sell and deliver liquor to points outside IN (IC 7.1-3-7-3). A distiller also may sell and ship to a place outside IN liquor manufactured by another distiller under IC 7.1-3-7-5. </w:t>
      </w:r>
    </w:p>
    <w:p w:rsidR="00000000" w:rsidDel="00000000" w:rsidP="00000000" w:rsidRDefault="00000000" w:rsidRPr="00000000" w14:paraId="0000019A">
      <w:pPr>
        <w:widowControl w:val="0"/>
        <w:spacing w:before="230" w:line="228" w:lineRule="auto"/>
        <w:ind w:left="14" w:right="2"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only direct wine seller permittees may ship to a person in IN who does not hold a valid wholesaler permit (IC 7.1-5-11-1.5(a)).  </w:t>
      </w:r>
    </w:p>
    <w:p w:rsidR="00000000" w:rsidDel="00000000" w:rsidP="00000000" w:rsidRDefault="00000000" w:rsidRPr="00000000" w14:paraId="0000019B">
      <w:pPr>
        <w:widowControl w:val="0"/>
        <w:spacing w:before="23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distiller may not sell liquor to a consumer (IC 7.1-3-7-3). </w:t>
      </w:r>
    </w:p>
    <w:p w:rsidR="00000000" w:rsidDel="00000000" w:rsidP="00000000" w:rsidRDefault="00000000" w:rsidRPr="00000000" w14:paraId="0000019C">
      <w:pPr>
        <w:widowControl w:val="0"/>
        <w:spacing w:before="225" w:line="228" w:lineRule="auto"/>
        <w:ind w:left="16" w:right="5" w:firstLine="6.000000000000001"/>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Executive Order 20-44 extends Executive Order 20-14, which allows permittees not otherwise eligible for carryout, to sell alcoholic beverages for carryout and allows permittees to take alcohol to a vehicle adjacent to a restaurant premises until December 1, 2020. Executive Order 21-12 extended Executive Order 20-14 until May 31, 2021. On April 29, 2021 these provisions were made permanent when H.B. 1396 was signed and enacted into law. </w:t>
      </w:r>
    </w:p>
    <w:p w:rsidR="00000000" w:rsidDel="00000000" w:rsidP="00000000" w:rsidRDefault="00000000" w:rsidRPr="00000000" w14:paraId="0000019D">
      <w:pPr>
        <w:widowControl w:val="0"/>
        <w:spacing w:before="4"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Executive Order 21-12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https://www.in.gov/gov/files/Executive-Order-21-12-Continuation-of-Modified-County-Based-Restrictions.pdf</w:t>
        </w:r>
      </w:hyperlink>
      <w:r w:rsidDel="00000000" w:rsidR="00000000" w:rsidRPr="00000000">
        <w:rPr>
          <w:rtl w:val="0"/>
        </w:rPr>
      </w:r>
    </w:p>
    <w:p w:rsidR="00000000" w:rsidDel="00000000" w:rsidP="00000000" w:rsidRDefault="00000000" w:rsidRPr="00000000" w14:paraId="0000019E">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H.B. 1396 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https://legiscan.com/IN/text/HB1396/id/2238613/Indiana-2021-HB1396-Introduced.pdf</w:t>
        </w:r>
      </w:hyperlink>
      <w:r w:rsidDel="00000000" w:rsidR="00000000" w:rsidRPr="00000000">
        <w:rPr>
          <w:rtl w:val="0"/>
        </w:rPr>
      </w:r>
    </w:p>
    <w:p w:rsidR="00000000" w:rsidDel="00000000" w:rsidP="00000000" w:rsidRDefault="00000000" w:rsidRPr="00000000" w14:paraId="0000019F">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Indiana Code </w:t>
      </w:r>
    </w:p>
    <w:p w:rsidR="00000000" w:rsidDel="00000000" w:rsidP="00000000" w:rsidRDefault="00000000" w:rsidRPr="00000000" w14:paraId="000001A1">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IC 7.1-3-7-3 Scope of permit </w:t>
      </w:r>
    </w:p>
    <w:p w:rsidR="00000000" w:rsidDel="00000000" w:rsidP="00000000" w:rsidRDefault="00000000" w:rsidRPr="00000000" w14:paraId="000001A2">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Sec. 3. (a) The holder of a distiller’s permit shall be entitled to:</w:t>
      </w:r>
    </w:p>
    <w:p w:rsidR="00000000" w:rsidDel="00000000" w:rsidP="00000000" w:rsidRDefault="00000000" w:rsidRPr="00000000" w14:paraId="000001A3">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(1) manufacture liquor;</w:t>
      </w:r>
    </w:p>
    <w:p w:rsidR="00000000" w:rsidDel="00000000" w:rsidP="00000000" w:rsidRDefault="00000000" w:rsidRPr="00000000" w14:paraId="000001A4">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(2) rectify liquor;</w:t>
      </w:r>
    </w:p>
    <w:p w:rsidR="00000000" w:rsidDel="00000000" w:rsidP="00000000" w:rsidRDefault="00000000" w:rsidRPr="00000000" w14:paraId="000001A5">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(3) bottle liquor; and</w:t>
      </w:r>
    </w:p>
    <w:p w:rsidR="00000000" w:rsidDel="00000000" w:rsidP="00000000" w:rsidRDefault="00000000" w:rsidRPr="00000000" w14:paraId="000001A6">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(4) insert liquor into containers.</w:t>
      </w:r>
    </w:p>
    <w:p w:rsidR="00000000" w:rsidDel="00000000" w:rsidP="00000000" w:rsidRDefault="00000000" w:rsidRPr="00000000" w14:paraId="000001A7">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(b) A distiller shall enjoy all the privileges accorded the holder of a rectifier’s permit, but the distiller shall not have to obtain a separate rectifier’s permit nor pay an additional fee.</w:t>
      </w:r>
    </w:p>
    <w:p w:rsidR="00000000" w:rsidDel="00000000" w:rsidP="00000000" w:rsidRDefault="00000000" w:rsidRPr="00000000" w14:paraId="000001A8">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(c) A distiller shall be entitled to transport liquor and to sell and deliver it in shipments to points outside this state, or to the holder of a liquor wholesaler’s permit, or to the holder of a rectifier’s permit.</w:t>
      </w:r>
    </w:p>
    <w:p w:rsidR="00000000" w:rsidDel="00000000" w:rsidP="00000000" w:rsidRDefault="00000000" w:rsidRPr="00000000" w14:paraId="000001A9">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(d) A distiller may not sell liquor produced under a distiller’s permit as issued under section 1 of this chapter to a consumer, nor to a person for the purpose of having it retailed by the person, whether that person holds a liquor retailer’s permit under this title or not.</w:t>
      </w:r>
    </w:p>
    <w:p w:rsidR="00000000" w:rsidDel="00000000" w:rsidP="00000000" w:rsidRDefault="00000000" w:rsidRPr="00000000" w14:paraId="000001AA">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(e) A distiller may transport liquor to and from a brewery located within the same county for the purposes of carbonating and canning by the brewery.</w:t>
      </w:r>
    </w:p>
    <w:p w:rsidR="00000000" w:rsidDel="00000000" w:rsidP="00000000" w:rsidRDefault="00000000" w:rsidRPr="00000000" w14:paraId="000001AB">
      <w:pPr>
        <w:widowControl w:val="0"/>
        <w:spacing w:line="228" w:lineRule="auto"/>
        <w:ind w:left="14" w:right="3" w:firstLine="13.000000000000004"/>
        <w:jc w:val="both"/>
        <w:rPr>
          <w:rFonts w:ascii="Calibri" w:cs="Calibri" w:eastAsia="Calibri" w:hAnsi="Calibri"/>
        </w:rPr>
      </w:pPr>
      <w:r w:rsidDel="00000000" w:rsidR="00000000" w:rsidRPr="00000000">
        <w:rPr>
          <w:rFonts w:ascii="Calibri" w:cs="Calibri" w:eastAsia="Calibri" w:hAnsi="Calibri"/>
          <w:rtl w:val="0"/>
        </w:rPr>
        <w:t xml:space="preserve">(f) The activity under this section is not an interest under IC 7.1-5-9. </w:t>
      </w:r>
    </w:p>
    <w:p w:rsidR="00000000" w:rsidDel="00000000" w:rsidP="00000000" w:rsidRDefault="00000000" w:rsidRPr="00000000" w14:paraId="000001AC">
      <w:pPr>
        <w:widowControl w:val="0"/>
        <w:spacing w:line="240" w:lineRule="auto"/>
        <w:ind w:left="19" w:firstLine="0"/>
        <w:jc w:val="both"/>
        <w:rPr>
          <w:rFonts w:ascii="Calibri" w:cs="Calibri" w:eastAsia="Calibri" w:hAnsi="Calibri"/>
          <w:color w:val="000080"/>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http://184.175.130.101/legislative/laws/2021/ic/titles/7.1#7.1-3-7-3</w:t>
        </w:r>
      </w:hyperlink>
      <w:r w:rsidDel="00000000" w:rsidR="00000000" w:rsidRPr="00000000">
        <w:rPr>
          <w:rtl w:val="0"/>
        </w:rPr>
      </w:r>
    </w:p>
    <w:p w:rsidR="00000000" w:rsidDel="00000000" w:rsidP="00000000" w:rsidRDefault="00000000" w:rsidRPr="00000000" w14:paraId="000001AD">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IC 7.1-3-7-5 Importation of liquor by distiller </w:t>
      </w:r>
    </w:p>
    <w:p w:rsidR="00000000" w:rsidDel="00000000" w:rsidP="00000000" w:rsidRDefault="00000000" w:rsidRPr="00000000" w14:paraId="000001AE">
      <w:pPr>
        <w:widowControl w:val="0"/>
        <w:spacing w:line="228" w:lineRule="auto"/>
        <w:ind w:left="17" w:right="3" w:firstLine="10.000000000000002"/>
        <w:jc w:val="both"/>
        <w:rPr>
          <w:rFonts w:ascii="Calibri" w:cs="Calibri" w:eastAsia="Calibri" w:hAnsi="Calibri"/>
        </w:rPr>
      </w:pPr>
      <w:r w:rsidDel="00000000" w:rsidR="00000000" w:rsidRPr="00000000">
        <w:rPr>
          <w:rFonts w:ascii="Calibri" w:cs="Calibri" w:eastAsia="Calibri" w:hAnsi="Calibri"/>
          <w:rtl w:val="0"/>
        </w:rPr>
        <w:t xml:space="preserve">Sec. 5. Importation of Liquor by Distiller. The holder of a distiller’s permit also shall be entitled to import and </w:t>
      </w:r>
      <w:r w:rsidDel="00000000" w:rsidR="00000000" w:rsidRPr="00000000">
        <w:rPr>
          <w:rFonts w:ascii="Calibri" w:cs="Calibri" w:eastAsia="Calibri" w:hAnsi="Calibri"/>
          <w:rtl w:val="0"/>
        </w:rPr>
        <w:t xml:space="preserve">sell within this state liquor</w:t>
      </w:r>
      <w:r w:rsidDel="00000000" w:rsidR="00000000" w:rsidRPr="00000000">
        <w:rPr>
          <w:rFonts w:ascii="Calibri" w:cs="Calibri" w:eastAsia="Calibri" w:hAnsi="Calibri"/>
          <w:rtl w:val="0"/>
        </w:rPr>
        <w:t xml:space="preserve"> fully manufactured outside this state and ready for marketing when imported. A distiller may sell imported liquor only to a person who holds a liquor wholesaler’s permit, or to the holder of a rectifier’s permit, or to another distiller. A distiller may not sell imported liquor at retail nor to a retailer. A distiller also may sell and ship to a place outside this state, the liquor manufactured by another distiller under this title. </w:t>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http://184.175.130.101/legislative/laws/2021/ic/titles/7.1#7.1-3-7-5</w:t>
        </w:r>
      </w:hyperlink>
      <w:r w:rsidDel="00000000" w:rsidR="00000000" w:rsidRPr="00000000">
        <w:rPr>
          <w:rtl w:val="0"/>
        </w:rPr>
      </w:r>
    </w:p>
    <w:p w:rsidR="00000000" w:rsidDel="00000000" w:rsidP="00000000" w:rsidRDefault="00000000" w:rsidRPr="00000000" w14:paraId="000001B0">
      <w:pPr>
        <w:widowControl w:val="0"/>
        <w:spacing w:before="225" w:line="227" w:lineRule="auto"/>
        <w:ind w:left="16" w:right="2" w:firstLine="1.9999999999999996"/>
        <w:jc w:val="both"/>
        <w:rPr>
          <w:rFonts w:ascii="Calibri" w:cs="Calibri" w:eastAsia="Calibri" w:hAnsi="Calibri"/>
          <w:b w:val="1"/>
        </w:rPr>
      </w:pPr>
      <w:r w:rsidDel="00000000" w:rsidR="00000000" w:rsidRPr="00000000">
        <w:rPr>
          <w:rFonts w:ascii="Calibri" w:cs="Calibri" w:eastAsia="Calibri" w:hAnsi="Calibri"/>
          <w:b w:val="1"/>
          <w:rtl w:val="0"/>
        </w:rPr>
        <w:t xml:space="preserve">IC 7.1-5-11-1.5 Shipments of alcoholic beverages to residents without valid wholesaler permits; violations </w:t>
      </w:r>
    </w:p>
    <w:p w:rsidR="00000000" w:rsidDel="00000000" w:rsidP="00000000" w:rsidRDefault="00000000" w:rsidRPr="00000000" w14:paraId="000001B1">
      <w:pPr>
        <w:widowControl w:val="0"/>
        <w:spacing w:before="0" w:line="227" w:lineRule="auto"/>
        <w:ind w:left="16" w:right="2" w:firstLine="1.9999999999999996"/>
        <w:jc w:val="both"/>
        <w:rPr>
          <w:rFonts w:ascii="Calibri" w:cs="Calibri" w:eastAsia="Calibri" w:hAnsi="Calibri"/>
        </w:rPr>
      </w:pPr>
      <w:r w:rsidDel="00000000" w:rsidR="00000000" w:rsidRPr="00000000">
        <w:rPr>
          <w:rFonts w:ascii="Calibri" w:cs="Calibri" w:eastAsia="Calibri" w:hAnsi="Calibri"/>
          <w:rtl w:val="0"/>
        </w:rPr>
        <w:t xml:space="preserve">Sec. 1.5. (a) Except as provided in IC 7.1-3-26, it is unlawful for a person in the business of selling alcoholic beverages in Indiana or outside Indiana to ship or cause to be shipped an alcoholic beverage directly to a person in Indiana who does not hold a valid wholesaler permit under this title. This includes the ordering and selling of alcoholic beverages over a computer network (as defined by IC 35-43-2-3(a)). </w:t>
      </w:r>
    </w:p>
    <w:p w:rsidR="00000000" w:rsidDel="00000000" w:rsidP="00000000" w:rsidRDefault="00000000" w:rsidRPr="00000000" w14:paraId="000001B2">
      <w:pPr>
        <w:widowControl w:val="0"/>
        <w:spacing w:before="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An in-state or an out-of-state vintner, distiller, brewer, rectifier, or importer that: </w:t>
      </w:r>
    </w:p>
    <w:p w:rsidR="00000000" w:rsidDel="00000000" w:rsidP="00000000" w:rsidRDefault="00000000" w:rsidRPr="00000000" w14:paraId="000001B3">
      <w:pPr>
        <w:widowControl w:val="0"/>
        <w:spacing w:line="228" w:lineRule="auto"/>
        <w:ind w:left="23" w:right="2002" w:firstLine="0"/>
        <w:jc w:val="both"/>
        <w:rPr>
          <w:rFonts w:ascii="Calibri" w:cs="Calibri" w:eastAsia="Calibri" w:hAnsi="Calibri"/>
        </w:rPr>
      </w:pPr>
      <w:r w:rsidDel="00000000" w:rsidR="00000000" w:rsidRPr="00000000">
        <w:rPr>
          <w:rFonts w:ascii="Calibri" w:cs="Calibri" w:eastAsia="Calibri" w:hAnsi="Calibri"/>
          <w:rtl w:val="0"/>
        </w:rPr>
        <w:t xml:space="preserve">(1) holds a basic permit from the federal Bureau of Alcohol, Tobacco, Firearms and Explosives; and </w:t>
      </w:r>
    </w:p>
    <w:p w:rsidR="00000000" w:rsidDel="00000000" w:rsidP="00000000" w:rsidRDefault="00000000" w:rsidRPr="00000000" w14:paraId="000001B4">
      <w:pPr>
        <w:widowControl w:val="0"/>
        <w:spacing w:line="228" w:lineRule="auto"/>
        <w:ind w:left="23" w:right="2002" w:firstLine="0"/>
        <w:jc w:val="both"/>
        <w:rPr>
          <w:rFonts w:ascii="Calibri" w:cs="Calibri" w:eastAsia="Calibri" w:hAnsi="Calibri"/>
        </w:rPr>
      </w:pPr>
      <w:r w:rsidDel="00000000" w:rsidR="00000000" w:rsidRPr="00000000">
        <w:rPr>
          <w:rFonts w:ascii="Calibri" w:cs="Calibri" w:eastAsia="Calibri" w:hAnsi="Calibri"/>
          <w:rtl w:val="0"/>
        </w:rPr>
        <w:t xml:space="preserve">(2) knowingly violates subsection (a); </w:t>
      </w:r>
    </w:p>
    <w:p w:rsidR="00000000" w:rsidDel="00000000" w:rsidP="00000000" w:rsidRDefault="00000000" w:rsidRPr="00000000" w14:paraId="000001B5">
      <w:pPr>
        <w:widowControl w:val="0"/>
        <w:spacing w:before="4" w:line="240" w:lineRule="auto"/>
        <w:ind w:left="22" w:firstLine="0"/>
        <w:jc w:val="both"/>
        <w:rPr>
          <w:rFonts w:ascii="Calibri" w:cs="Calibri" w:eastAsia="Calibri" w:hAnsi="Calibri"/>
        </w:rPr>
      </w:pPr>
      <w:r w:rsidDel="00000000" w:rsidR="00000000" w:rsidRPr="00000000">
        <w:rPr>
          <w:rFonts w:ascii="Calibri" w:cs="Calibri" w:eastAsia="Calibri" w:hAnsi="Calibri"/>
          <w:rtl w:val="0"/>
        </w:rPr>
        <w:t xml:space="preserve">commits a Class A misdemeanor. </w:t>
      </w:r>
    </w:p>
    <w:p w:rsidR="00000000" w:rsidDel="00000000" w:rsidP="00000000" w:rsidRDefault="00000000" w:rsidRPr="00000000" w14:paraId="000001B6">
      <w:pPr>
        <w:widowControl w:val="0"/>
        <w:spacing w:line="228" w:lineRule="auto"/>
        <w:ind w:left="19" w:right="3" w:firstLine="3.999999999999999"/>
        <w:jc w:val="both"/>
        <w:rPr>
          <w:rFonts w:ascii="Calibri" w:cs="Calibri" w:eastAsia="Calibri" w:hAnsi="Calibri"/>
        </w:rPr>
      </w:pPr>
      <w:r w:rsidDel="00000000" w:rsidR="00000000" w:rsidRPr="00000000">
        <w:rPr>
          <w:rFonts w:ascii="Calibri" w:cs="Calibri" w:eastAsia="Calibri" w:hAnsi="Calibri"/>
          <w:rtl w:val="0"/>
        </w:rPr>
        <w:t xml:space="preserve">(c) A person who is not an in-state or an out-of-state vintner, distiller, brewer, rectifier, or importer that holds a basic permit from the federal Bureau of Alcohol, Tobacco, Firearms and Explosives who knowingly violates subsection (a) commits a Level 6 felony. </w:t>
      </w:r>
    </w:p>
    <w:p w:rsidR="00000000" w:rsidDel="00000000" w:rsidP="00000000" w:rsidRDefault="00000000" w:rsidRPr="00000000" w14:paraId="000001B7">
      <w:pPr>
        <w:widowControl w:val="0"/>
        <w:spacing w:before="4" w:line="227"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(d) Upon a determination by the commission that a person has violated subsection (a), a wholesaler may not accept a shipment of alcoholic beverages from the person for a period of up to one (1) year as determined by the commission. </w:t>
      </w:r>
    </w:p>
    <w:p w:rsidR="00000000" w:rsidDel="00000000" w:rsidP="00000000" w:rsidRDefault="00000000" w:rsidRPr="00000000" w14:paraId="000001B8">
      <w:pPr>
        <w:widowControl w:val="0"/>
        <w:spacing w:before="4" w:line="227"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(e) If the chairman of the alcohol and tobacco commission or the attorney general determines that a vintner, distiller, brewer, rectifier, or importer that holds a basic permit from the federal Bureau of Alcohol, Tobacco, Firearms and Explosives has made an illegal shipment of an alcoholic beverage to consumers in Indiana, the chairman shall:</w:t>
      </w:r>
    </w:p>
    <w:p w:rsidR="00000000" w:rsidDel="00000000" w:rsidP="00000000" w:rsidRDefault="00000000" w:rsidRPr="00000000" w14:paraId="000001B9">
      <w:pPr>
        <w:widowControl w:val="0"/>
        <w:spacing w:before="4" w:line="227" w:lineRule="auto"/>
        <w:ind w:left="16" w:right="2" w:firstLine="6.999999999999997"/>
        <w:jc w:val="both"/>
        <w:rPr>
          <w:rFonts w:ascii="Calibri" w:cs="Calibri" w:eastAsia="Calibri" w:hAnsi="Calibri"/>
        </w:rPr>
      </w:pPr>
      <w:r w:rsidDel="00000000" w:rsidR="00000000" w:rsidRPr="00000000">
        <w:rPr>
          <w:rFonts w:ascii="Calibri" w:cs="Calibri" w:eastAsia="Calibri" w:hAnsi="Calibri"/>
          <w:rtl w:val="0"/>
        </w:rPr>
        <w:t xml:space="preserve">(1) notify the federal Bureau of Alcohol, Tobacco, Firearms and Explosives in writing and by certified mail of the official determination that state law has been violated; and</w:t>
      </w:r>
    </w:p>
    <w:p w:rsidR="00000000" w:rsidDel="00000000" w:rsidP="00000000" w:rsidRDefault="00000000" w:rsidRPr="00000000" w14:paraId="000001BA">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request the federal bureau to take appropriate action. </w:t>
      </w:r>
    </w:p>
    <w:p w:rsidR="00000000" w:rsidDel="00000000" w:rsidP="00000000" w:rsidRDefault="00000000" w:rsidRPr="00000000" w14:paraId="000001BB">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(f) The commission shall adopt rules under IC 4-22-2 to implement this section. </w:t>
      </w:r>
    </w:p>
    <w:p w:rsidR="00000000" w:rsidDel="00000000" w:rsidP="00000000" w:rsidRDefault="00000000" w:rsidRPr="00000000" w14:paraId="000001BC">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http://184.175.130.101/legislative/laws/2021/ic/titles/7.1#7.1-5-11-1.5</w:t>
        </w:r>
      </w:hyperlink>
      <w:r w:rsidDel="00000000" w:rsidR="00000000" w:rsidRPr="00000000">
        <w:rPr>
          <w:rtl w:val="0"/>
        </w:rPr>
      </w:r>
    </w:p>
    <w:p w:rsidR="00000000" w:rsidDel="00000000" w:rsidP="00000000" w:rsidRDefault="00000000" w:rsidRPr="00000000" w14:paraId="000001BD">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E">
      <w:pPr>
        <w:widowControl w:val="0"/>
        <w:spacing w:before="220" w:line="228" w:lineRule="auto"/>
        <w:ind w:left="18" w:right="5" w:firstLine="9.000000000000002"/>
        <w:jc w:val="both"/>
        <w:rPr>
          <w:rFonts w:ascii="Calibri" w:cs="Calibri" w:eastAsia="Calibri" w:hAnsi="Calibri"/>
        </w:rPr>
      </w:pPr>
      <w:r w:rsidDel="00000000" w:rsidR="00000000" w:rsidRPr="00000000">
        <w:rPr>
          <w:rFonts w:ascii="Calibri" w:cs="Calibri" w:eastAsia="Calibri" w:hAnsi="Calibri"/>
          <w:rtl w:val="0"/>
        </w:rPr>
        <w:t xml:space="preserve">Sept. 28, 2020 - Information on Executive Order 20-43 and 20-44, Back on Track Indiana: Stage Five Previously issued capacity limits for restaurants, bars, taverns, nightclubs and other establishments providing in-person food and/or drink service have been rescinded and replaced with the following requirements: </w:t>
      </w:r>
    </w:p>
    <w:p w:rsidR="00000000" w:rsidDel="00000000" w:rsidP="00000000" w:rsidRDefault="00000000" w:rsidRPr="00000000" w14:paraId="000001BF">
      <w:pPr>
        <w:widowControl w:val="0"/>
        <w:spacing w:before="4" w:line="228" w:lineRule="auto"/>
        <w:ind w:left="16" w:right="3" w:firstLine="5"/>
        <w:jc w:val="both"/>
        <w:rPr>
          <w:rFonts w:ascii="Calibri" w:cs="Calibri" w:eastAsia="Calibri" w:hAnsi="Calibri"/>
        </w:rPr>
      </w:pPr>
      <w:r w:rsidDel="00000000" w:rsidR="00000000" w:rsidRPr="00000000">
        <w:rPr>
          <w:rFonts w:ascii="Calibri" w:cs="Calibri" w:eastAsia="Calibri" w:hAnsi="Calibri"/>
          <w:rtl w:val="0"/>
        </w:rPr>
        <w:t xml:space="preserve">all patrons must remain seated while consuming food and/or drink or when otherwise remaining on the premises; and seating must be arranged and maintained so that individuals, households or parties are spaced at least six feet apart from any other individual, household or party. </w:t>
      </w:r>
    </w:p>
    <w:p w:rsidR="00000000" w:rsidDel="00000000" w:rsidP="00000000" w:rsidRDefault="00000000" w:rsidRPr="00000000" w14:paraId="000001C0">
      <w:pPr>
        <w:widowControl w:val="0"/>
        <w:spacing w:before="235" w:line="228" w:lineRule="auto"/>
        <w:ind w:left="16" w:right="4" w:firstLine="11"/>
        <w:jc w:val="both"/>
        <w:rPr>
          <w:rFonts w:ascii="Calibri" w:cs="Calibri" w:eastAsia="Calibri" w:hAnsi="Calibri"/>
        </w:rPr>
      </w:pPr>
      <w:r w:rsidDel="00000000" w:rsidR="00000000" w:rsidRPr="00000000">
        <w:rPr>
          <w:rFonts w:ascii="Calibri" w:cs="Calibri" w:eastAsia="Calibri" w:hAnsi="Calibri"/>
          <w:rtl w:val="0"/>
        </w:rPr>
        <w:t xml:space="preserve">Self-service beverage stations are permitted and self-service food stations (buffets, salad bars, etc.) are permitted but not recommended unless a staff member serves patrons. </w:t>
      </w:r>
    </w:p>
    <w:p w:rsidR="00000000" w:rsidDel="00000000" w:rsidP="00000000" w:rsidRDefault="00000000" w:rsidRPr="00000000" w14:paraId="000001C1">
      <w:pPr>
        <w:widowControl w:val="0"/>
        <w:spacing w:before="235" w:line="226" w:lineRule="auto"/>
        <w:ind w:left="15" w:right="4" w:firstLine="3.999999999999999"/>
        <w:jc w:val="both"/>
        <w:rPr>
          <w:rFonts w:ascii="Calibri" w:cs="Calibri" w:eastAsia="Calibri" w:hAnsi="Calibri"/>
        </w:rPr>
      </w:pPr>
      <w:r w:rsidDel="00000000" w:rsidR="00000000" w:rsidRPr="00000000">
        <w:rPr>
          <w:rFonts w:ascii="Calibri" w:cs="Calibri" w:eastAsia="Calibri" w:hAnsi="Calibri"/>
          <w:rtl w:val="0"/>
        </w:rPr>
        <w:t xml:space="preserve">EO 20-44 extends Executive Order 20-14, which allows permittees not otherwise eligible for carryout, to sell alcoholic beverages for carryout and allows permittees to take alcohol to a vehicle adjacent to a restaurant premises until December 1, 2020. </w:t>
      </w:r>
    </w:p>
    <w:p w:rsidR="00000000" w:rsidDel="00000000" w:rsidP="00000000" w:rsidRDefault="00000000" w:rsidRPr="00000000" w14:paraId="000001C2">
      <w:pPr>
        <w:widowControl w:val="0"/>
        <w:spacing w:before="6" w:line="240" w:lineRule="auto"/>
        <w:ind w:left="19" w:firstLine="0"/>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155cc"/>
          <w:u w:val="single"/>
          <w:rtl w:val="0"/>
        </w:rPr>
        <w:t xml:space="preserve">https://www.in.gov/atc/2854.htm </w:t>
      </w:r>
    </w:p>
    <w:p w:rsidR="00000000" w:rsidDel="00000000" w:rsidP="00000000" w:rsidRDefault="00000000" w:rsidRPr="00000000" w14:paraId="000001C3">
      <w:pPr>
        <w:widowControl w:val="0"/>
        <w:spacing w:before="6" w:line="240" w:lineRule="auto"/>
        <w:ind w:left="19" w:firstLine="0"/>
        <w:jc w:val="both"/>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C4">
      <w:pPr>
        <w:widowControl w:val="0"/>
        <w:spacing w:before="6" w:line="240" w:lineRule="auto"/>
        <w:ind w:left="19" w:firstLine="0"/>
        <w:jc w:val="both"/>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C5">
      <w:pPr>
        <w:widowControl w:val="0"/>
        <w:spacing w:before="6" w:line="240" w:lineRule="auto"/>
        <w:ind w:left="1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widowControl w:val="0"/>
        <w:spacing w:before="6" w:line="240" w:lineRule="auto"/>
        <w:ind w:left="1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C05C4"/>
    <w:pPr>
      <w:tabs>
        <w:tab w:val="center" w:pos="4680"/>
        <w:tab w:val="right" w:pos="9360"/>
      </w:tabs>
      <w:spacing w:line="240" w:lineRule="auto"/>
    </w:pPr>
  </w:style>
  <w:style w:type="character" w:styleId="HeaderChar" w:customStyle="1">
    <w:name w:val="Header Char"/>
    <w:basedOn w:val="DefaultParagraphFont"/>
    <w:link w:val="Header"/>
    <w:uiPriority w:val="99"/>
    <w:rsid w:val="007C05C4"/>
  </w:style>
  <w:style w:type="paragraph" w:styleId="Footer">
    <w:name w:val="footer"/>
    <w:basedOn w:val="Normal"/>
    <w:link w:val="FooterChar"/>
    <w:uiPriority w:val="99"/>
    <w:unhideWhenUsed w:val="1"/>
    <w:rsid w:val="007C05C4"/>
    <w:pPr>
      <w:tabs>
        <w:tab w:val="center" w:pos="4680"/>
        <w:tab w:val="right" w:pos="9360"/>
      </w:tabs>
      <w:spacing w:line="240" w:lineRule="auto"/>
    </w:pPr>
  </w:style>
  <w:style w:type="character" w:styleId="FooterChar" w:customStyle="1">
    <w:name w:val="Footer Char"/>
    <w:basedOn w:val="DefaultParagraphFont"/>
    <w:link w:val="Footer"/>
    <w:uiPriority w:val="99"/>
    <w:rsid w:val="007C05C4"/>
  </w:style>
  <w:style w:type="character" w:styleId="Hyperlink">
    <w:name w:val="Hyperlink"/>
    <w:basedOn w:val="DefaultParagraphFont"/>
    <w:uiPriority w:val="99"/>
    <w:unhideWhenUsed w:val="1"/>
    <w:rsid w:val="001C2B9C"/>
    <w:rPr>
      <w:color w:val="0000ff" w:themeColor="hyperlink"/>
      <w:u w:val="single"/>
    </w:rPr>
  </w:style>
  <w:style w:type="character" w:styleId="UnresolvedMention">
    <w:name w:val="Unresolved Mention"/>
    <w:basedOn w:val="DefaultParagraphFont"/>
    <w:uiPriority w:val="99"/>
    <w:semiHidden w:val="1"/>
    <w:unhideWhenUsed w:val="1"/>
    <w:rsid w:val="001C2B9C"/>
    <w:rPr>
      <w:color w:val="605e5c"/>
      <w:shd w:color="auto" w:fill="e1dfdd" w:val="clear"/>
    </w:rPr>
  </w:style>
  <w:style w:type="character" w:styleId="FollowedHyperlink">
    <w:name w:val="FollowedHyperlink"/>
    <w:basedOn w:val="DefaultParagraphFont"/>
    <w:uiPriority w:val="99"/>
    <w:semiHidden w:val="1"/>
    <w:unhideWhenUsed w:val="1"/>
    <w:rsid w:val="0095484E"/>
    <w:rPr>
      <w:color w:val="800080" w:themeColor="followedHyperlink"/>
      <w:u w:val="single"/>
    </w:rPr>
  </w:style>
  <w:style w:type="character" w:styleId="CommentReference">
    <w:name w:val="annotation reference"/>
    <w:basedOn w:val="DefaultParagraphFont"/>
    <w:uiPriority w:val="99"/>
    <w:semiHidden w:val="1"/>
    <w:unhideWhenUsed w:val="1"/>
    <w:rsid w:val="00B9081C"/>
    <w:rPr>
      <w:sz w:val="16"/>
      <w:szCs w:val="16"/>
    </w:rPr>
  </w:style>
  <w:style w:type="paragraph" w:styleId="CommentText">
    <w:name w:val="annotation text"/>
    <w:basedOn w:val="Normal"/>
    <w:link w:val="CommentTextChar"/>
    <w:uiPriority w:val="99"/>
    <w:semiHidden w:val="1"/>
    <w:unhideWhenUsed w:val="1"/>
    <w:rsid w:val="00B9081C"/>
    <w:pPr>
      <w:spacing w:line="240" w:lineRule="auto"/>
    </w:pPr>
    <w:rPr>
      <w:sz w:val="20"/>
      <w:szCs w:val="20"/>
    </w:rPr>
  </w:style>
  <w:style w:type="character" w:styleId="CommentTextChar" w:customStyle="1">
    <w:name w:val="Comment Text Char"/>
    <w:basedOn w:val="DefaultParagraphFont"/>
    <w:link w:val="CommentText"/>
    <w:uiPriority w:val="99"/>
    <w:semiHidden w:val="1"/>
    <w:rsid w:val="00B9081C"/>
    <w:rPr>
      <w:sz w:val="20"/>
      <w:szCs w:val="20"/>
    </w:rPr>
  </w:style>
  <w:style w:type="paragraph" w:styleId="CommentSubject">
    <w:name w:val="annotation subject"/>
    <w:basedOn w:val="CommentText"/>
    <w:next w:val="CommentText"/>
    <w:link w:val="CommentSubjectChar"/>
    <w:uiPriority w:val="99"/>
    <w:semiHidden w:val="1"/>
    <w:unhideWhenUsed w:val="1"/>
    <w:rsid w:val="00B9081C"/>
    <w:rPr>
      <w:b w:val="1"/>
      <w:bCs w:val="1"/>
    </w:rPr>
  </w:style>
  <w:style w:type="character" w:styleId="CommentSubjectChar" w:customStyle="1">
    <w:name w:val="Comment Subject Char"/>
    <w:basedOn w:val="CommentTextChar"/>
    <w:link w:val="CommentSubject"/>
    <w:uiPriority w:val="99"/>
    <w:semiHidden w:val="1"/>
    <w:rsid w:val="00B9081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gov/gov/files/Executive-Order-21-12-Continuation-of-Modified-County-Based-Restrictions.pdf" TargetMode="External"/><Relationship Id="rId10" Type="http://schemas.openxmlformats.org/officeDocument/2006/relationships/footer" Target="footer1.xml"/><Relationship Id="rId13" Type="http://schemas.openxmlformats.org/officeDocument/2006/relationships/hyperlink" Target="http://184.175.130.101/legislative/laws/2021/ic/titles/7.1#7.1-3-7-3" TargetMode="External"/><Relationship Id="rId12" Type="http://schemas.openxmlformats.org/officeDocument/2006/relationships/hyperlink" Target="https://legiscan.com/IN/text/HB1396/id/2238613/Indiana-2021-HB1396-Introduce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184.175.130.101/legislative/laws/2021/ic/titles/7.1#7.1-5-11-1.5" TargetMode="External"/><Relationship Id="rId14" Type="http://schemas.openxmlformats.org/officeDocument/2006/relationships/hyperlink" Target="http://184.175.130.101/legislative/laws/2021/ic/titles/7.1#7.1-3-7-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h0y7IZJvELH1ky24qkR7tAZqQ==">AMUW2mU9WSEnscJ2/TKojdyulmQyyqPtlws5gxa+yLImkydXoU5P3coQ0zLr6lDhh3FthPn3Lay6jLasgsGeKQMd2zwvxXTDeLvofJpv63d/ndy+Wj+YDTTZlupQEUFHqRnjvsCeYll2iPmSGXecW2SqGLsznSHBjwP42TB4UHFIspvkZISObaXf+pLcERg/cz9nBue6446G77+Hrot8EEYWHsR8lIavTaryyNNfGcsEKX1d2zCSPZ+MDPf/NkqkXYgsEGKQmplsIjrkqdg9Kc/HEIyHVOd/gVhShDC7E+EvY+Hukop+p1yycEszuLOK56MgDcMvdDrlW1a2UZnkjMAWgLoTbXJ8B66UPqcH9QCeHGbLKkrRfreoUIc9yrB+e2k7gpkzGPLEOhwxLK2hNbx6RQ2tydIGg3hgIo3c48o0tWShk83n0cRfFRNBmeXfd7ET0QqmpYzzMcntGng7VosBCLUkiPyDEXp0/a3sPUZSBIb2cj4vsNCyt6U3m75y/995mwEUs3FFg59JfzE6kIz/1u7niIS6uvD7ZPvPtn/ctqNBp5Gg/8A2CI3Wluc1d3mE/HxF7F1jjrr9iVQEcz0+F1bYEwVswbtYf8z0JDjpoOeso4rKSZcevOjNj7DnIvRyVLMc4NbkHy396FQ8u/Pzoll9ynSYFsJm7bmaswf8LxmGTBnMijUICAi2UfFUMY8+zVf4At+ZRSyBAa8mvFpQRmROdGWZG1tqCq3Quvp8Jhn683rXWWbDFOIvt5+3qekLLwrHLE6wPisSItzuAN405Ysyo1MbOI3bA8QnpE7/+tCw50BY8Vu7AzjMsc+4N9gI0s6e9stbTrgdwyUdg06oplhemtsFsm1t3PEwzWcM75CB22FCfp8eODVxb0Yau+BWBUXAcTHn5EzMjk2mcxmayLMNGjdCPMbO34o7GzoDRzyl3FFBvX9qLxNKBhVW3QXHcqhMCpXk28HUBTUtC67kRwfopVmFT+YGdXHV5HFrecfVHdniWWIkVX78HIlZkDZEFT7y4ok5QUmaosEGIyLFddfXG8Et50l+nkdh39QcfchzfnKV+/MCsyywqFw3ZdJTQR+crDKQvKn2fQhWUm9EMi1SX+faBP/3/b8j86ucCtR/r6eyEb7PhNCCE85rJG0js2kCj90Rp6n+nfO2s7HiRdlk2vXuAIXHqdqouv9KgByz1Zgiy3Xzr7ZyKFLuFYm7jhK5ZoKfMgfk9DmKMIvIMMNMqFx1FuCWn3WtOgyw9k2gseRD8qG8DqgXW5idkY8z/+rNl+gglDH+9QOwvkgG19eXQ7K72ElfahPkl7qt3uoOXbZABqLo6AvhTUcCpNBJp8ACzRgn76XIHbj97lit9b3fhYBkLkLWesZiG91MWApg4v9B3N4Oc3J8b8OxJ8qoNzYAr8kTs1AideZV9rqhajAXuBaAMDI+tjt/7jC2pU02bidgQyny/nzrftwWu3At1iIuFCzBZHT8sckREpCTKDJHKuUo/PibZJmynfAHOvExyi47NVzpwiB79m3yr5GIxTkUM2rT/HHzup4O5gR2DTLyOfdUzQmbFmCtRbzXKr6gBsmkRnNF9jArcydHMn/kwsCPq7FAVu3MGRk7qA/GmTZvz1TXq/PkY9zW34K4tvbPgOsoeyjr07jWe1DRgbXqQVSSnzlk/butH/G3fGJvird8ECAP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2021-07-25T18:26:00Z</dcterms:created>
</cp:coreProperties>
</file>